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353</w:t>
      </w:r>
    </w:p>
    <w:p>
      <w:r>
        <w:t>Bundesgericht (BGE), 2000-07-17, DE</w:t>
      </w:r>
    </w:p>
    <w:p>
      <w:r>
        <w:rPr>
          <w:b/>
        </w:rPr>
        <w:t xml:space="preserve">Quelle: </w:t>
      </w:r>
      <w:r>
        <w:t>https://mcp.opencaselaw.ch/entscheid/bge_126 III 353</w:t>
      </w:r>
    </w:p>
    <w:p>
      <w:r>
        <w:t>FR: ATF 126 III 353</w:t>
      </w:r>
    </w:p>
    <w:p>
      <w:r>
        <w:t>IT: DTF 126 III 353</w:t>
      </w:r>
    </w:p>
    <w:p>
      <w:pPr>
        <w:pStyle w:val="Heading2"/>
      </w:pPr>
      <w:r>
        <w:t>Regeste</w:t>
      </w:r>
    </w:p>
    <w:p>
      <w:r>
        <w:t>Regeste Art. 285 Abs. 1 ZGB; Ermittlung des Kinderunterhaltsbeitrages bei knappen finanziellen Mitteln. Die Steuerlast des Rentenschuldners muss bei knappen finanziellen Mitteln ausser Betracht bleiben (E. 1a/aa). Grundsätze für die Berechnung des minimalen Grundbedarfs des Rentenschuldners (E. 1a/bb). Anforderungen an die Ausgestaltung einer Indexklausel, damit diese vollstreckbar ist (E. 1b). Zum Grundsatz der finanziellen Gleichbehandlung mehrerer unterhaltsberechtigter Kinder (E. 2b/aa) und zur damit verbundenen Pflicht, die finanziellen Verhältnisse aller beteiligte Haushalte abzuklären (E. 2b/bb).</w:t>
      </w:r>
    </w:p>
    <w:p>
      <w:pPr>
        <w:pStyle w:val="Heading2"/>
      </w:pPr>
      <w:r>
        <w:t>Erwägungen</w:t>
      </w:r>
    </w:p>
    <w:p>
      <w:r>
        <w:rPr>
          <w:b/>
        </w:rPr>
        <w:t>E. 1</w:t>
      </w:r>
    </w:p>
    <w:p>
      <w:r>
        <w:t>In Kenntnis darüber, dass der Beklagte gegenüber vier Kindern unterhaltspflichtig ist, hat das Obergericht unter Hinweis auf die Erwägungen des kantonsgerichtlichen Urteils, die insoweit Inhalt des angefochtenen Entscheids werden ( BGE 119 II 478 E. 1d; BGE 116 II 422 E. 2a; BGE 111 II 413 E. 3b), festgestellt, bei einem monatlichen Nettoeinkommen von Fr. 3'815.35 und einem Existenzminimum von Fr. 3'456.- verbleibe der Mutter des Klägers ein Betrag von Fr. 360.- über dem Notbedarf. Dem Haushalt des Beklagten und seiner Familie stünden im Minimum Fr. 6'936.- zu (Existenzminimum von Fr. 5'736.- zuzüglich Fr. 1'200.- Kinderunterhaltsbeiträge des Beklagten für die beiden vorehelichen Kinder); der Beklagte und seine Frau verfügten zusammen über ein Nettomonatseinkommen von Fr. 7'236.05, an das die Gattin etwa die Hälfte beitrage. Die Differenz von Fr. 300.- im Monat zwischen dem Einkommen des beklagtischen Haushalts und dessen minimalen Kosten sei als Überschuss zu betrachten, der dem Kläger unter Abweisung der Berufung zustehe. Die Einwände des Beklagten könnten nicht durchdringen; sein Haushalt werde finanziell dadurch entlastet, dass der Beklagte seine Unterhaltspflichten gegenüber den beiden vorehelichen Kindern mittels Abänderungsklage werde reduzieren können. a) Der Beklagte rügt vorab, in sein Existenzminimum dürfe nicht eingegriffen werden. Es dürften ihm nicht einmal so hohe Rentenpflichten auferlegt werden, dass ihm bloss das nackte Existenzminimum verbleibe, weil dieses schon durch die laufenden Steuern tangiert werde. Weiter müsse ihm für die Zukunft Geld zur Begleichung BGE 126 III 353 S. 356 auch anderer Schulden zustehen; andernfalls könne er den zunehmenden Bedarf seiner älter werdenden Kinder nicht befriedigen. Ihm und seiner Gattin verbleibe kein Anreiz mehr, Geld zu verdienen und zu sparen. Im Einzelnen macht der Beklagte weiter geltend, da er im Kanton Zürich wohne, hätte nicht auf den im Kanton Zug geltenden Grundbedarf abgestellt werden dürfen. Ferner seien bei der Berechnung des Grundbedarfs seine Kosten für Strom und Gas sowie für Telefon und Fernsehen nicht berücksichtigt worden, was das Existenzminimum auf Fr. 6'066.- erhöhe. aa) Zunächst ist dem Beklagten entgegenzuhalten, dass bei engen finanziellen Möglichkeiten die Steuerlast unberücksichtigt zu bleiben hat, macht es doch wenig Sinn, die Steuerlast zum Existenzminimum des Unterhaltspflichtigen hinzuzurechnen und im gleichen Umfang seinen Unterhaltsbeitrag zu senken. Denn diesfalls bekäme das Kind von der Fürsorge häufig bloss (ungefähr) das (zusätzlich), was das Gemeinwesen beim Unterhaltspflichtigen an Steuern einziehen könnte. Auch muss der Beklagte nicht fürchten, seine Existenz würde durch Steuerforderungen gefährdet, weil ihm für deren Bezahlung nach der Begleichung seiner Unterhaltsschulden und der Deckung des Grundbedarfes seiner Familie nichts bleibt. Denn sein Recht auf Existenzsicherung darf durch staatliche Abgabeforderungen nicht beeinträchtigt werden ( Art. 12 BV ; BGE 122 I 101 E. 3; BGE 121 I 367 E. 2). Auch der Zivilrichter sollte dieses Grundrecht nicht beeinträchtigen (HAUSHEER/REUSSER/GEISER, Berner Kommentar, Bern 1999, N. 27 zu Art. 176 ZGB ). Zu schützen ist somit in Fällen knapper finanzieller Mittel zumindest das betreibungsrechtliche Existenzminimum des Rentenschuldners (P. BREITSCHMID, Basler Kommentar, ZGB Bd. I, N. 12 f. und 19 ff. zu Art. 285 ZGB ; C. HEGNAUER, Berner Kommentar, N. 51, 59 und 62 f. zu Art. 285 ZGB ; vgl. zu den Rentenpflichten allgemein BGE 123 III 1 E. 3b/bb S. 4 f. und H. HAUSHEER, Das neue Scheidungsrecht: wenigstens ein Anlass zu innovativem Methodenpluralismus?, ZBJV 136/2000 S. 373 f.; vgl. zu den Zuschlägen zum Existenzminimum bei besseren finanziellen Verhältnissen und unterhaltsberechtigten mündigen Kindern BGE 118 II 97 E. 4b/aa und bb S. 99 f.). bb) Es trifft zu, dass das Obergericht bei einem Überschuss von Fr. 300.- mit dem zugesprochenen Unterhaltsbeitrag von Fr. 350.- bundesrechtswidrig in das Existenzminimum des Beklagten eingreift ( BGE 123 III 1 E. 3b/bb und E. 5 S. 5 Abs. 2 und S. 9). Dem Beklagten ist auch insofern beizupflichten, als es näher liegt, auf den Grundbetrag im Kanton Zürich abzustellen, weil der Beklagte dort BGE 126 III 353 S. 357 wohnt und seine Leistungsfähigkeit naheliegenderweise nach den an seinem Wohnort herrschenden Verhältnissen zu ermitteln ist (vgl. BREITSCHMID, a.a.O., N. 11 zu Art. 285 ZGB , HEGNAUER, N. 59 zu Art. 285 ZGB und Art. 46 Abs. 1 SchKG ). Diese Überlegung ist hier namentlich deshalb am Platz, weil der Beklagte vier unterhaltsberechtigte Kinder hat, die offenbar in verschiedenen Kantonen wohnen. Darf bei sehr knappen finanziellen Verhältnissen im Vergleich zur Anzahl der unterhaltsberechtigten Kinder vom betreibungsrechtlichen Existenzminimum des Beklagten ausgegangen werden, ist nicht ersichtlich, weshalb Bundesrecht gebietet, die vom Beklagten geltend gemachten Ausgaben für Kommunikation, Strom und Gas aufzurechnen. Denn das betreibungsrechtliche Existenzminimum wird nur bei dafür ausreichenden finanziellen Verhältnissen um gewisse Beträge erhöht und die vom Beklagten geltend gemachten Positionen sind solche, die zum Teil im Grundbetrag inbegriffen sind (Kosten für Strom und Gas) und zum Teil in der Berechnung des betreibungsrechtlichen Existenzminimums nicht gesondert aufgeführt werden (Kosten für Telefon und Fernsehen; BGE 114 II 9 E. 7b S. 13, 393 E. 4b S. 394 f.; BGE 96 II 301 E. 5b S. 304; G. VONDER MÜHLL, in: Kommentar zum Bundesgesetz über Schuldbetreibung und Konkurs, Bd. II, N. 23 zu Art. 93 SchKG [Richtlinien Ziff. II.1 und II.2]; vgl. Handbuch des Unterhaltsrechts, herausg. von HAUSHEER/SPYCHER, Rz. 02.28 f., 02.32, 02.35, 02.46 f. und 06.128 S. 77, 79 f., 82 und 371). b) Weiter verlangt der Beklagte, den Indexzuschlag ohne den urkundlichen Nachweis verweigern zu dürfen, wenn der Lohn nicht der Teuerung entsprechend angestiegen ist. Zur Begründung führt er aus, der Richter dürfe von Bundesrechts wegen keine derart unverhältnismässige Anordnung treffen; er verliere im Unterlassungsfall das Recht auf Nichtbezahlung des Indexzuschlages, auch wenn sein Lohn effektiv nicht angestiegen sei. Unzulässig ist, den Nachweis für die Lohnerhöhung dem unterhaltsberechtigten Kind aufzuerlegen; weniger klar ist dagegen, ob vom Unterhaltspflichtigen der Beweis verlangt werden kann, dass eine dem Indexzuschlag entsprechende Lohnerhöhung ausgeblieben ist, und ob sich der Pflichtige dadurch von einer Beitragserhöhung befreien kann (HEGNAUER, a.a.O., N. 28 zu Art. 286 ZGB ). Darf der Kinderunterhaltsbeitrag in gewissen Grenzen indexiert werden, auch wenn der Lohn des Unterhaltspflichtigen gar nicht im entsprechenden Umfang ansteigt, weil die Indexklausel dem unterhaltsberechtigten BGE 126 III 353 S. 358 Kind die Kaufkraft wahren soll und die Folgen der Teuerung nicht von vornherein auf das Kind abgewälzt werden dürfen (HEGNAUER, a.a.O., N. 24 bis 28 und 30 f. zu Art. 286 ZGB ; BREITSCHMID, a.a.O., N. 1 und 5 zu Art. 286 ZGB ), so erscheint die Anordnung der kantonalen Gerichte, der Beklagte schulde den Indexzuschlag nur dann nicht, wenn er bis zum 31. Januar des laufenden Jahres urkundlich nachweise, dass sein Lohn nicht im entsprechenden Umfang angestiegen sei, nicht von vornherein unzulässig. Diese Regelung kommt dem Beklagten entgegen und ist einfach, da eine Lohnbestätigung genügt (vgl. zur Indexierung der Scheidungsrenten BGE 115 II 309 E. 1 S. 312; BGE 105 II 166 E. 3c S. 171; 100 II 245 E. 4c S. 250 f. und E. 6a S. 253 unten; BGE 98 II 257 E. 7). Führen jedoch an die Indexklausel geknüpfte Bedingungen dazu, dass im Fall der Bevorschussung oder der Zwangsvollstreckung nicht klar ist, wie hoch der effektiv geschuldete Unterhaltsbeitrag ist, fehlt einer solchen richterlichen Anordnung die erforderliche Klarheit (HEGNAUER, a.a.O., N. 29 zu Art. 286 ZGB ; ZR 86/1987 Nr. 27 S. 60 ff. E. 3 S. 63 und Nr. 29 S. 65 ff. E. 3 S. 67 ff.). Da bei der vorliegend zu beurteilenden Bedingung wohl schon nach wenigen Jahren nicht mehr klar wäre, um wie viel der geschuldete Unterhaltsbeitrag angestiegen ist, muss die angefochtene Klausel als bundesrechtswidrig bezeichnet werden. Die Vorinstanz wird über die Klausel neu befinden können (s. E. 2b/bb hiernach).</w:t>
      </w:r>
    </w:p>
    <w:p>
      <w:r>
        <w:rPr>
          <w:b/>
        </w:rPr>
        <w:t>E. 2</w:t>
      </w:r>
    </w:p>
    <w:p>
      <w:r>
        <w:t>Der Beklagte wendet gegen das obergerichtliche Urteil grundsätzlich ein, seine vier unterhaltsberechtigten Kinder müssten gleich behandelt werden und sollten gleichermassen am Überschuss partizipieren. Mit der vom Obergericht vorgelegten Rechnung lasse sich die erforderliche Fairness gar nicht verwirklichen. Auf der Basis seines eigenen Einkommens errechnet der Beklagte einen Überschuss von Fr. 1'060.-. Würde den drei leiblichen Kindern je Fr. 265.- zugesprochen, hätten die Haushalte des Beklagten und des Klägers nach Massgabe seiner Berechnung je ca. Fr. 375.- Überschuss. In der Sache strebt er eine Kürzung des Unterhaltsbeitrages an den Kläger auf Fr. 150.- pro Monat an und vertritt die Meinung, er schulde den beiden vorehelichen Kindern je auch nur diesen Betrag. Der Kläger hält dieser Berechnung entgegen, dass der Unterhaltsbeitrag zu seinen Gunsten ansteigen würde, wenn die Unterhaltsleistungen des Beklagten für seine beiden vorehelichen Kinder entsprechend den neuen Verhältnissen gekürzt würden. b) Unterhaltsberechtigte Kinder sind vom Unterhaltspflichtigen im Verhältnis zu ihren objektiven Bedürfnissen finanziell gleich zu BGE 126 III 353 S. 359 behandeln. Den unterschiedlichen Erziehungs-, Gesundheits- und Ausbildungsbedürfnissen darf somit Rechnung getragen werden, weshalb ungleiche Unterhaltsbeiträge nicht von vornherein ausgeschlossen sind, aber einer Rechtfertigung bedürfen ( BGE 116 II 110 E. 4a S. 114 f.; vgl. BGE 120 II 285 E. 3b/bb S. 291 zu Stiefgeschwistern; BREITSCHMID, a.a.O., N. 19 zu Art. 276 ZGB und N. 17 zu Art. 285 ZGB ; HEGNAUER, a.a.O., N. 68 zu Art. 276 ZGB und N. 9 zu Art. 285 ZGB ; gleich die kantonale Praxis: ZVW 1994 S. 165 ff. E. 4d S. 171 f. und ZVW 1993 S. 120 ff. E. 9d S. 128). Die Höhe des Unterhaltsbeitrages hängt weiter nicht nur von der Leistungsfähigkeit des in die Unterhaltspflicht genommenen, sondern auch von den finanziellen Umständen des obhuts- bzw. sorgeberechtigten Elternteils ab (HEGNAUER, a.a.O., N. 8, 51 und 75 f. zu Art. 285 ZGB ; BREITSCHMID, a.a.O., N. 8 f. zu Art. 276 ZGB und N. 16 zu Art. 285 ZGB ; WIDMER/GEISER, Ein Vorschlag zur Bemessung der Kinderunterhaltsbeiträge, AJP 2000 S. 11 f. und 14). Daher kann der Unterhaltsschuldner mehreren Kindern, die vergleichbare Unterhaltsbedürfnisse haben, unterschiedliche Beiträge schon nur deswegen schulden, weil sie in verschiedenen Haushalten mit unterschiedlichen finanziellen Rahmenbedingungen leben (HEGNAUER, a.a.O., N. 69 zu Art. 276 ZGB ). aa) Dem angefochtenen Urteil ist zu den finanziellen Verhältnissen der Mutter der beiden vorehelichen Kinder nichts zu entnehmen; darin wird lediglich ausgeführt, der Beklagte schulde diesen beiden Kindern monatliche Unterhaltsbeiträge von je Fr. 600.-. Von diesen Zahlen (und nicht etwa von jenen gemäss dem Abänderungsurteil des Bezirksgerichts Meilen vom 12. Januar 2000) ist auszugehen. Denn das Bundesgericht ist, von besonderen Ausnahmen abgesehen, an den von der Vorinstanz festgestellten Sachverhalt gebunden (Art. 55 Abs. 1 lit. c und d, Art. 63 Abs. 2 und Art. 64 OG ). Das gilt selbst für Tatsachen, die sich erst nach Erlass des angefochtenen Urteils zugetragen haben und somit echte Noven darstellen (POUDRET/SANDOZ-MONOD, Commentaire de la loi fédérale d'organisation judiciaire, Bd. II, Bern 1990, N. 1.5.3.2 zu Art. 55 OG S. 437; MESSMER/IMBODEN, Die eidgenössischen Rechtsmittel in Zivilsachen, Rz. 115 insbes. S. 156 bei und mit Fn. 36; W. BIRCHMEIER, Bundesrechtspflege, Zürich 1950, N. 8b/aa zu Art. 55 OG S. 204). Zu Lasten des beklagtischen Haushaltes beziehen die beiden vorehelichen Kinder zusätzlich insgesamt Fr. 320.- im Monat in Form von Mahlzeiten. Der Unterhalts- und Erziehungsbedarf dieser beiden Kinder ist unbekannt; das gilt auch für die finanziellen Umstände BGE 126 III 353 S. 360 des Haushaltes, in dem diese Kinder wohnen. Zum Unterhaltsanspruch des Kindes, das der Beklagte mit seiner Gattin zur Welt gebracht hat, steht nichts fest; mit einiger Sicherheit ist für dieses Kind in der Berechnung des Existenzminimums des beklagtischen Haushalts ein schematisch festgesetzter Betrag eingesetzt worden (wohl der Betrag für ein Kind in der entsprechenden Alterskategorie: VONDER MÜHLL, a.a.O., N. 23 zu Art. 93 SchKG [Richtlinien Ziff. I.3]). Einzig die finanziellen Rahmenbedingungen für den Anspruch des Klägers (des ausserehelichen Kindes des Beklagten) konnten einwandfrei ermittelt werden, weil die finanziellen Verhältnisse der beiden Haushalte der Parteien zwangsläufig Prozessgegenstand des laufenden Verfahrens sind. bb) Nach den feststehenden Tatsachen fliessen den beiden vorehelichen Kindern monatlich somit je Fr. 760.- zu. Für das eheliche Kind des Beklagten sind in das Existenzminimum seines Haushaltes wahrscheinlich entweder Fr. 195.- oder Fr. 275.- pro Monat eingesetzt worden. Beträge in dieser Höhe dürfen für dieses Kind freilich nur dann festgesetzt werden, wenn feststeht, dass dem beklagtischen Haushalt nicht mehr als das Existenzminimum zusteht, und wenn sie der Höhe nach nicht unbegründet von denjenigen für die anderen drei Kinder des Beklagten abweichen. Der Kläger hat nach dem angefochtenen Entscheid Anspruch auf monatlich Fr. 350.-. In Rücksicht auf das aus Art. 285 ZGB fliessende (relative) Gleichbehandlungsgebot der Kinder ist nun nicht ersichtlich, weshalb welchem Kind dieser oder jener Unterhaltsbeitrag zusteht. Dafür fehlen zu den Einkommensverhältnissen aller betroffenen Haushalte schon die tatsächlichen Feststellungen, von denen das Bundesgericht auszugehen hat ( Art. 63 Abs. 2 OG ) und ohne die es selber nicht beurteilen kann, ob die vier in Frage stehenden Unterhaltsbeiträge bundesrechtskonform ermittelt worden sind. Daher ist der angefochtene Entscheid aufzuheben und weist das Bundesgericht die Sache von sich aus zu neuer Entscheidung an die Vorinstanz zurück ( Art. 64 Abs. 1 OG ; BGE 93 II 213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